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243D" w:rsidRDefault="00E6243D"/>
    <w:p w:rsidR="00E6243D" w:rsidRDefault="00E6243D">
      <w:r w:rsidRPr="009F7FFD">
        <w:rPr>
          <w:noProof/>
          <w:color w:val="auto"/>
          <w:sz w:val="22"/>
          <w:szCs w:val="22"/>
          <w:lang w:eastAsia="en-US"/>
        </w:rPr>
        <w:drawing>
          <wp:inline distT="0" distB="0" distL="0" distR="0" wp14:anchorId="474B0ED6" wp14:editId="25851391">
            <wp:extent cx="5400040" cy="2409542"/>
            <wp:effectExtent l="0" t="0" r="0" b="0"/>
            <wp:docPr id="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409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43D" w:rsidRPr="009F7FFD" w:rsidRDefault="00E6243D" w:rsidP="00E6243D">
      <w:pPr>
        <w:pStyle w:val="MDPI51figurecaption"/>
        <w:rPr>
          <w:color w:val="auto"/>
        </w:rPr>
      </w:pPr>
      <w:r>
        <w:rPr>
          <w:b/>
          <w:color w:val="auto"/>
        </w:rPr>
        <w:t>Figure S1</w:t>
      </w:r>
      <w:r w:rsidRPr="009F7FFD">
        <w:rPr>
          <w:b/>
          <w:color w:val="auto"/>
        </w:rPr>
        <w:t xml:space="preserve">. </w:t>
      </w:r>
      <w:r w:rsidRPr="009F7FFD">
        <w:rPr>
          <w:color w:val="auto"/>
        </w:rPr>
        <w:t>Boxplots of evolutionary rates for predicted structural order–disorder residues of human RTT-causing proteins. (a–c) Boxes representing predicted ordered (blue) and disordered (red) structure residues in MECP2 (A), CDKL5 (B), and FOXG1 (C). The x and y axes represent predicted conformation and Z score of evolutionary rate</w:t>
      </w:r>
      <w:r>
        <w:rPr>
          <w:color w:val="auto"/>
        </w:rPr>
        <w:t>s</w:t>
      </w:r>
      <w:r w:rsidRPr="009F7FFD">
        <w:rPr>
          <w:color w:val="auto"/>
        </w:rPr>
        <w:t>, respectively.</w:t>
      </w:r>
    </w:p>
    <w:p w:rsidR="00E6243D" w:rsidRDefault="00E6243D"/>
    <w:p w:rsidR="00E6243D" w:rsidRDefault="00E6243D"/>
    <w:p w:rsidR="00E6243D" w:rsidRDefault="00E6243D"/>
    <w:p w:rsidR="00E6243D" w:rsidRDefault="00E6243D"/>
    <w:p w:rsidR="00E6243D" w:rsidRDefault="00E6243D"/>
    <w:p w:rsidR="00E6243D" w:rsidRDefault="00E6243D"/>
    <w:p w:rsidR="00E6243D" w:rsidRDefault="00E6243D"/>
    <w:p w:rsidR="00E6243D" w:rsidRDefault="00E6243D"/>
    <w:p w:rsidR="00E6243D" w:rsidRDefault="00E6243D"/>
    <w:p w:rsidR="001C48F1" w:rsidRDefault="00FF7778">
      <w:r>
        <w:rPr>
          <w:noProof/>
        </w:rPr>
        <w:lastRenderedPageBreak/>
        <w:drawing>
          <wp:inline distT="0" distB="0" distL="0" distR="0">
            <wp:extent cx="5400675" cy="3971925"/>
            <wp:effectExtent l="0" t="0" r="9525" b="0"/>
            <wp:docPr id="1" name="Picture 1" descr="C:\Users\oshime\Desktop\new\supplementary figure\Fig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shime\Desktop\new\supplementary figure\Fig6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43D" w:rsidRDefault="00E6243D" w:rsidP="00E6243D">
      <w:pPr>
        <w:pStyle w:val="MDPI51figurecaption"/>
        <w:ind w:left="0" w:right="44"/>
      </w:pPr>
      <w:r w:rsidRPr="00117117">
        <w:rPr>
          <w:b/>
          <w:color w:val="auto"/>
        </w:rPr>
        <w:t xml:space="preserve">Figure </w:t>
      </w:r>
      <w:r>
        <w:rPr>
          <w:b/>
          <w:color w:val="auto"/>
        </w:rPr>
        <w:t>S2</w:t>
      </w:r>
      <w:r w:rsidRPr="00117117">
        <w:rPr>
          <w:b/>
          <w:color w:val="auto"/>
        </w:rPr>
        <w:t xml:space="preserve">. </w:t>
      </w:r>
      <w:r w:rsidRPr="00117117">
        <w:rPr>
          <w:color w:val="auto"/>
        </w:rPr>
        <w:t>Tissue and organ expression analysis of human RTT-related proteins. The vertical axis shows 237 RTT-related proteins, and each bar shows MeCP2-interacter (red), CDKL5-interacter (green), and FOXG1-interactor (blue) (a1 and a2); cellular localization (b); epigenetic regulation of gene expression (c1); transcriptional regulation (c2); and organogenesis (c3).</w:t>
      </w:r>
      <w:r w:rsidRPr="00117117">
        <w:rPr>
          <w:rFonts w:eastAsia="ＭＳ 明朝" w:cs="ＭＳ 明朝"/>
          <w:color w:val="auto"/>
          <w:lang w:eastAsia="ja-JP"/>
        </w:rPr>
        <w:t xml:space="preserve"> </w:t>
      </w:r>
      <w:r w:rsidRPr="00117117">
        <w:rPr>
          <w:color w:val="auto"/>
        </w:rPr>
        <w:t xml:space="preserve">The horizontal axis shows 37 tissue types classified according to the Human Protein Atlas [37]. The tissue expressing each protein satisfying the range determined with Equation 3 is shown in black. The lower part of the figure shows the number of specifically expressed proteins. a, adipose tissue; b, adrenal gland; c, appendix; d, bone marrow; e, breast; f, cerebral cortex; g, cervix; uterine; h, colon; </w:t>
      </w:r>
      <w:proofErr w:type="spellStart"/>
      <w:r w:rsidRPr="00117117">
        <w:rPr>
          <w:color w:val="auto"/>
        </w:rPr>
        <w:t>i</w:t>
      </w:r>
      <w:proofErr w:type="spellEnd"/>
      <w:r w:rsidRPr="00117117">
        <w:rPr>
          <w:color w:val="auto"/>
        </w:rPr>
        <w:t>, duodenum; j, endometrium; k, epididymis; l, esophag</w:t>
      </w:r>
      <w:r w:rsidRPr="00117117">
        <w:t xml:space="preserve">us; m, fallopian tube; n, gallbladder; o, heart muscle; p, kidney; q, liver; r, lung; s, lymph node; t, ovary; u, pancreas; v, parathyroid gland; x, placenta; y, prostate; z, rectum; aa, salivary gland; ab, seminal vesicle; ac, skeletal muscle; ad, skin; ae, small intestine; </w:t>
      </w:r>
      <w:proofErr w:type="spellStart"/>
      <w:r w:rsidRPr="00117117">
        <w:t>af</w:t>
      </w:r>
      <w:proofErr w:type="spellEnd"/>
      <w:r w:rsidRPr="00117117">
        <w:t xml:space="preserve">, smooth muscle; ag, spleen; ah, stomach; ai, testis; </w:t>
      </w:r>
      <w:proofErr w:type="spellStart"/>
      <w:r w:rsidRPr="00117117">
        <w:t>aj</w:t>
      </w:r>
      <w:proofErr w:type="spellEnd"/>
      <w:r w:rsidRPr="00117117">
        <w:t xml:space="preserve">, thyroid gland; </w:t>
      </w:r>
      <w:proofErr w:type="spellStart"/>
      <w:r w:rsidRPr="00117117">
        <w:t>ak</w:t>
      </w:r>
      <w:proofErr w:type="spellEnd"/>
      <w:r w:rsidRPr="00117117">
        <w:t>, tonsil; al, urinary bladder.</w:t>
      </w:r>
    </w:p>
    <w:p w:rsidR="008E1F5D" w:rsidRDefault="008E1F5D" w:rsidP="00E6243D">
      <w:pPr>
        <w:pStyle w:val="MDPI51figurecaption"/>
        <w:ind w:left="0" w:right="44"/>
      </w:pPr>
    </w:p>
    <w:p w:rsidR="008E1F5D" w:rsidRDefault="008E1F5D" w:rsidP="00E6243D">
      <w:pPr>
        <w:pStyle w:val="MDPI51figurecaption"/>
        <w:ind w:left="0" w:right="44"/>
      </w:pPr>
    </w:p>
    <w:p w:rsidR="008E1F5D" w:rsidRDefault="008E1F5D" w:rsidP="00E6243D">
      <w:pPr>
        <w:pStyle w:val="MDPI51figurecaption"/>
        <w:ind w:left="0" w:right="44"/>
      </w:pPr>
    </w:p>
    <w:p w:rsidR="008E1F5D" w:rsidRDefault="008E1F5D" w:rsidP="00E6243D">
      <w:pPr>
        <w:pStyle w:val="MDPI51figurecaption"/>
        <w:ind w:left="0" w:right="44"/>
      </w:pPr>
    </w:p>
    <w:p w:rsidR="008E1F5D" w:rsidRDefault="008E1F5D" w:rsidP="00E6243D">
      <w:pPr>
        <w:pStyle w:val="MDPI51figurecaption"/>
        <w:ind w:left="0" w:right="44"/>
      </w:pPr>
    </w:p>
    <w:p w:rsidR="008E1F5D" w:rsidRDefault="008E1F5D" w:rsidP="00E6243D">
      <w:pPr>
        <w:pStyle w:val="MDPI51figurecaption"/>
        <w:ind w:left="0" w:right="44"/>
      </w:pPr>
    </w:p>
    <w:p w:rsidR="008E1F5D" w:rsidRPr="00F768C0" w:rsidRDefault="008E1F5D" w:rsidP="00E6243D">
      <w:pPr>
        <w:pStyle w:val="MDPI51figurecaption"/>
        <w:ind w:left="0" w:right="44"/>
      </w:pPr>
      <w:r>
        <w:rPr>
          <w:noProof/>
        </w:rPr>
        <w:lastRenderedPageBreak/>
        <w:drawing>
          <wp:inline distT="0" distB="0" distL="0" distR="0">
            <wp:extent cx="5400040" cy="472884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e S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728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1F5D" w:rsidRPr="008E1F5D" w:rsidRDefault="008E1F5D" w:rsidP="008E1F5D">
      <w:pPr>
        <w:rPr>
          <w:rFonts w:ascii="Palatino Linotype" w:hAnsi="Palatino Linotype"/>
          <w:sz w:val="18"/>
          <w:szCs w:val="18"/>
        </w:rPr>
      </w:pPr>
      <w:r w:rsidRPr="008E1F5D">
        <w:rPr>
          <w:rFonts w:ascii="Palatino Linotype" w:hAnsi="Palatino Linotype"/>
          <w:b/>
          <w:color w:val="auto"/>
          <w:sz w:val="18"/>
          <w:szCs w:val="18"/>
        </w:rPr>
        <w:t>Figure S</w:t>
      </w:r>
      <w:r w:rsidRPr="008E1F5D">
        <w:rPr>
          <w:rFonts w:ascii="Palatino Linotype" w:hAnsi="Palatino Linotype"/>
          <w:b/>
          <w:color w:val="auto"/>
          <w:sz w:val="18"/>
          <w:szCs w:val="18"/>
        </w:rPr>
        <w:t>3</w:t>
      </w:r>
      <w:r w:rsidRPr="008E1F5D">
        <w:rPr>
          <w:rFonts w:ascii="Palatino Linotype" w:hAnsi="Palatino Linotype"/>
          <w:b/>
          <w:color w:val="auto"/>
          <w:sz w:val="18"/>
          <w:szCs w:val="18"/>
        </w:rPr>
        <w:t xml:space="preserve">. </w:t>
      </w:r>
      <w:r w:rsidRPr="008E1F5D">
        <w:rPr>
          <w:rFonts w:ascii="Palatino Linotype" w:hAnsi="Palatino Linotype"/>
          <w:color w:val="auto"/>
          <w:sz w:val="18"/>
          <w:szCs w:val="18"/>
        </w:rPr>
        <w:t>Phylogenetic trees of MECP2, CDKL5, and FOXG1</w:t>
      </w:r>
      <w:r>
        <w:rPr>
          <w:rFonts w:ascii="Palatino Linotype" w:hAnsi="Palatino Linotype"/>
          <w:color w:val="auto"/>
          <w:sz w:val="18"/>
          <w:szCs w:val="18"/>
        </w:rPr>
        <w:t xml:space="preserve"> with maximum likelihood bootstrap</w:t>
      </w:r>
      <w:r w:rsidRPr="008E1F5D">
        <w:rPr>
          <w:rFonts w:ascii="Palatino Linotype" w:hAnsi="Palatino Linotype"/>
          <w:color w:val="auto"/>
          <w:sz w:val="18"/>
          <w:szCs w:val="18"/>
        </w:rPr>
        <w:t>.</w:t>
      </w:r>
      <w:r>
        <w:rPr>
          <w:rFonts w:ascii="Palatino Linotype" w:hAnsi="Palatino Linotype"/>
          <w:color w:val="auto"/>
          <w:sz w:val="18"/>
          <w:szCs w:val="18"/>
        </w:rPr>
        <w:t xml:space="preserve"> Color bars in the tips of trees indicate the taxa of species following to figure 1.</w:t>
      </w:r>
      <w:bookmarkStart w:id="0" w:name="_GoBack"/>
      <w:bookmarkEnd w:id="0"/>
    </w:p>
    <w:p w:rsidR="00E6243D" w:rsidRPr="008E1F5D" w:rsidRDefault="00E6243D">
      <w:pPr>
        <w:rPr>
          <w:rFonts w:ascii="Palatino Linotype" w:hAnsi="Palatino Linotype"/>
          <w:sz w:val="18"/>
          <w:szCs w:val="18"/>
        </w:rPr>
      </w:pPr>
    </w:p>
    <w:sectPr w:rsidR="00E6243D" w:rsidRPr="008E1F5D">
      <w:pgSz w:w="11906" w:h="16838"/>
      <w:pgMar w:top="1985" w:right="1701" w:bottom="1701" w:left="1701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18BF" w:rsidRDefault="007E18BF" w:rsidP="008E1F5D">
      <w:pPr>
        <w:spacing w:line="240" w:lineRule="auto"/>
      </w:pPr>
      <w:r>
        <w:separator/>
      </w:r>
    </w:p>
  </w:endnote>
  <w:endnote w:type="continuationSeparator" w:id="0">
    <w:p w:rsidR="007E18BF" w:rsidRDefault="007E18BF" w:rsidP="008E1F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altName w:val="Times New Roman PSMT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18BF" w:rsidRDefault="007E18BF" w:rsidP="008E1F5D">
      <w:pPr>
        <w:spacing w:line="240" w:lineRule="auto"/>
      </w:pPr>
      <w:r>
        <w:separator/>
      </w:r>
    </w:p>
  </w:footnote>
  <w:footnote w:type="continuationSeparator" w:id="0">
    <w:p w:rsidR="007E18BF" w:rsidRDefault="007E18BF" w:rsidP="008E1F5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E6969"/>
    <w:rsid w:val="001C48F1"/>
    <w:rsid w:val="007E18BF"/>
    <w:rsid w:val="008E1F5D"/>
    <w:rsid w:val="00E6243D"/>
    <w:rsid w:val="00EE6969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8EBB12"/>
  <w15:chartTrackingRefBased/>
  <w15:docId w15:val="{BA24FE77-2911-4F1B-BC70-49A3A3BD9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E6969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1tablecaption">
    <w:name w:val="MDPI_4.1_table_caption"/>
    <w:basedOn w:val="Normal"/>
    <w:qFormat/>
    <w:rsid w:val="00EE6969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77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778"/>
    <w:rPr>
      <w:rFonts w:ascii="Segoe UI" w:eastAsia="Times New Roman" w:hAnsi="Segoe UI" w:cs="Segoe UI"/>
      <w:color w:val="000000"/>
      <w:kern w:val="0"/>
      <w:sz w:val="18"/>
      <w:szCs w:val="18"/>
      <w:lang w:eastAsia="de-DE"/>
    </w:rPr>
  </w:style>
  <w:style w:type="paragraph" w:customStyle="1" w:styleId="MDPI51figurecaption">
    <w:name w:val="MDPI_5.1_figure_caption"/>
    <w:basedOn w:val="Normal"/>
    <w:qFormat/>
    <w:rsid w:val="00E6243D"/>
    <w:pPr>
      <w:adjustRightInd w:val="0"/>
      <w:snapToGrid w:val="0"/>
      <w:spacing w:before="120" w:after="240" w:line="260" w:lineRule="atLeast"/>
      <w:ind w:left="425" w:right="425"/>
    </w:pPr>
    <w:rPr>
      <w:rFonts w:ascii="Palatino Linotype" w:hAnsi="Palatino Linotype"/>
      <w:sz w:val="18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E1F5D"/>
    <w:pPr>
      <w:tabs>
        <w:tab w:val="center" w:pos="4252"/>
        <w:tab w:val="right" w:pos="8504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1F5D"/>
    <w:rPr>
      <w:rFonts w:ascii="Times New Roman" w:eastAsia="Times New Roman" w:hAnsi="Times New Roman" w:cs="Times New Roman"/>
      <w:color w:val="000000"/>
      <w:kern w:val="0"/>
      <w:sz w:val="24"/>
      <w:szCs w:val="20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8E1F5D"/>
    <w:pPr>
      <w:tabs>
        <w:tab w:val="center" w:pos="4252"/>
        <w:tab w:val="right" w:pos="8504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1F5D"/>
    <w:rPr>
      <w:rFonts w:ascii="Times New Roman" w:eastAsia="Times New Roman" w:hAnsi="Times New Roman" w:cs="Times New Roman"/>
      <w:color w:val="000000"/>
      <w:kern w:val="0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FAHMI Muhamad(gr0343rp)</dc:creator>
  <cp:keywords/>
  <dc:description/>
  <cp:lastModifiedBy>FAHMI Muhamad(gr0343rp)</cp:lastModifiedBy>
  <cp:revision>2</cp:revision>
  <dcterms:created xsi:type="dcterms:W3CDTF">2019-09-30T07:38:00Z</dcterms:created>
  <dcterms:modified xsi:type="dcterms:W3CDTF">2019-09-30T10:12:00Z</dcterms:modified>
</cp:coreProperties>
</file>